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D609D9">
      <w:pPr>
        <w:rPr>
          <w:rFonts w:ascii="方正小标宋简体" w:hAnsi="黑体" w:eastAsia="方正小标宋简体"/>
          <w:sz w:val="44"/>
          <w:szCs w:val="44"/>
        </w:rPr>
      </w:pPr>
      <w:r>
        <mc:AlternateContent>
          <mc:Choice Requires="wpg">
            <w:drawing>
              <wp:anchor distT="0" distB="0" distL="114300" distR="114300" simplePos="0" relativeHeight="251659264" behindDoc="1" locked="0" layoutInCell="1" allowOverlap="1">
                <wp:simplePos x="0" y="0"/>
                <wp:positionH relativeFrom="column">
                  <wp:posOffset>-33020</wp:posOffset>
                </wp:positionH>
                <wp:positionV relativeFrom="paragraph">
                  <wp:posOffset>218440</wp:posOffset>
                </wp:positionV>
                <wp:extent cx="5713095" cy="1082040"/>
                <wp:effectExtent l="0" t="0" r="20955" b="22860"/>
                <wp:wrapNone/>
                <wp:docPr id="2" name="组合 2"/>
                <wp:cNvGraphicFramePr/>
                <a:graphic xmlns:a="http://schemas.openxmlformats.org/drawingml/2006/main">
                  <a:graphicData uri="http://schemas.microsoft.com/office/word/2010/wordprocessingGroup">
                    <wpg:wgp>
                      <wpg:cNvGrpSpPr/>
                      <wpg:grpSpPr>
                        <a:xfrm>
                          <a:off x="0" y="0"/>
                          <a:ext cx="5713095" cy="1082040"/>
                          <a:chOff x="0" y="0"/>
                          <a:chExt cx="5713095" cy="1082040"/>
                        </a:xfrm>
                      </wpg:grpSpPr>
                      <wps:wsp>
                        <wps:cNvPr id="1" name="文本框 1"/>
                        <wps:cNvSpPr txBox="1"/>
                        <wps:spPr>
                          <a:xfrm>
                            <a:off x="327804" y="0"/>
                            <a:ext cx="5060315" cy="1082040"/>
                          </a:xfrm>
                          <a:prstGeom prst="rect">
                            <a:avLst/>
                          </a:prstGeom>
                          <a:noFill/>
                          <a:ln>
                            <a:noFill/>
                          </a:ln>
                        </wps:spPr>
                        <wps:txbx>
                          <w:txbxContent>
                            <w:p w14:paraId="14AD55BA">
                              <w:pPr>
                                <w:rPr>
                                  <w:rFonts w:ascii="方正小标宋简体" w:eastAsia="方正小标宋简体"/>
                                  <w:color w:val="FF0000"/>
                                  <w:sz w:val="96"/>
                                  <w:szCs w:val="72"/>
                                </w:rPr>
                              </w:pPr>
                              <w:r>
                                <w:rPr>
                                  <w:rFonts w:hint="eastAsia" w:ascii="方正小标宋简体" w:eastAsia="方正小标宋简体"/>
                                  <w:color w:val="FF0000"/>
                                  <w:spacing w:val="192"/>
                                  <w:kern w:val="0"/>
                                  <w:sz w:val="96"/>
                                  <w:szCs w:val="72"/>
                                  <w:fitText w:val="7680" w:id="1002115018"/>
                                </w:rPr>
                                <w:t>辽宁财贸学</w:t>
                              </w:r>
                              <w:r>
                                <w:rPr>
                                  <w:rFonts w:hint="eastAsia" w:ascii="方正小标宋简体" w:eastAsia="方正小标宋简体"/>
                                  <w:color w:val="FF0000"/>
                                  <w:spacing w:val="0"/>
                                  <w:kern w:val="0"/>
                                  <w:sz w:val="96"/>
                                  <w:szCs w:val="72"/>
                                  <w:fitText w:val="7680" w:id="1002115018"/>
                                </w:rPr>
                                <w:t>院</w:t>
                              </w:r>
                            </w:p>
                          </w:txbxContent>
                        </wps:txbx>
                        <wps:bodyPr rot="0" spcFirstLastPara="0" vertOverflow="overflow" horzOverflow="overflow" vert="horz" wrap="none" lIns="91440" tIns="45720" rIns="91440" bIns="45720" numCol="1" spcCol="0" rtlCol="0" fromWordArt="0" anchor="t" anchorCtr="0" forceAA="0" compatLnSpc="1">
                          <a:spAutoFit/>
                        </wps:bodyPr>
                      </wps:wsp>
                      <wps:wsp>
                        <wps:cNvPr id="5" name="直接连接符 5"/>
                        <wps:cNvCnPr/>
                        <wps:spPr>
                          <a:xfrm>
                            <a:off x="0" y="1078302"/>
                            <a:ext cx="5713095" cy="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6pt;margin-top:17.2pt;height:85.2pt;width:449.85pt;z-index:-251657216;mso-width-relative:page;mso-height-relative:page;" coordsize="5713095,1082040" o:gfxdata="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">
                <o:lock v:ext="edit" aspectratio="f"/>
                <v:shape id="_x0000_s1026" o:spid="_x0000_s1026" o:spt="202" type="#_x0000_t202" style="position:absolute;left:327804;top:0;height:1082040;width:5060315;mso-wrap-style:none;" filled="f" stroked="f" coordsize="21600,21600" o:gfxdata="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WOLyG5AAAA2g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14AD55BA">
                        <w:pPr>
                          <w:rPr>
                            <w:rFonts w:ascii="方正小标宋简体" w:eastAsia="方正小标宋简体"/>
                            <w:color w:val="FF0000"/>
                            <w:sz w:val="96"/>
                            <w:szCs w:val="72"/>
                          </w:rPr>
                        </w:pPr>
                        <w:r>
                          <w:rPr>
                            <w:rFonts w:hint="eastAsia" w:ascii="方正小标宋简体" w:eastAsia="方正小标宋简体"/>
                            <w:color w:val="FF0000"/>
                            <w:spacing w:val="192"/>
                            <w:kern w:val="0"/>
                            <w:sz w:val="96"/>
                            <w:szCs w:val="72"/>
                            <w:fitText w:val="7680" w:id="1002115018"/>
                          </w:rPr>
                          <w:t>辽宁财贸学</w:t>
                        </w:r>
                        <w:r>
                          <w:rPr>
                            <w:rFonts w:hint="eastAsia" w:ascii="方正小标宋简体" w:eastAsia="方正小标宋简体"/>
                            <w:color w:val="FF0000"/>
                            <w:spacing w:val="0"/>
                            <w:kern w:val="0"/>
                            <w:sz w:val="96"/>
                            <w:szCs w:val="72"/>
                            <w:fitText w:val="7680" w:id="1002115018"/>
                          </w:rPr>
                          <w:t>院</w:t>
                        </w:r>
                      </w:p>
                    </w:txbxContent>
                  </v:textbox>
                </v:shape>
                <v:line id="_x0000_s1026" o:spid="_x0000_s1026" o:spt="20" style="position:absolute;left:0;top:1078302;height:0;width:5713095;" filled="f" stroked="t" coordsize="21600,21600" o:gfxdata="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dBZJvQAA&#10;ANoAAAAPAAAAAAAAAAEAIAAAACIAAABkcnMvZG93bnJldi54bWxQSwECFAAUAAAACACHTuJAMy8F&#10;njsAAAA5AAAAEAAAAAAAAAABACAAAAAMAQAAZHJzL3NoYXBleG1sLnhtbFBLBQYAAAAABgAGAFsB&#10;AAC2AwAAAAA=&#10;">
                  <v:fill on="f" focussize="0,0"/>
                  <v:stroke weight="1.5pt" color="#FF0000 [3204]" joinstyle="round"/>
                  <v:imagedata o:title=""/>
                  <o:lock v:ext="edit" aspectratio="f"/>
                </v:line>
              </v:group>
            </w:pict>
          </mc:Fallback>
        </mc:AlternateContent>
      </w:r>
    </w:p>
    <w:p w14:paraId="6A0B330C">
      <w:pPr>
        <w:rPr>
          <w:sz w:val="32"/>
          <w:szCs w:val="32"/>
        </w:rPr>
      </w:pPr>
    </w:p>
    <w:p w14:paraId="4151B1DE">
      <w:pPr>
        <w:spacing w:line="580" w:lineRule="exact"/>
        <w:jc w:val="center"/>
        <w:rPr>
          <w:rFonts w:ascii="方正小标宋简体" w:eastAsia="方正小标宋简体"/>
          <w:sz w:val="32"/>
          <w:szCs w:val="32"/>
        </w:rPr>
      </w:pPr>
    </w:p>
    <w:p w14:paraId="573A1F67">
      <w:pPr>
        <w:keepNext w:val="0"/>
        <w:keepLines w:val="0"/>
        <w:pageBreakBefore w:val="0"/>
        <w:widowControl w:val="0"/>
        <w:kinsoku/>
        <w:wordWrap/>
        <w:overflowPunct/>
        <w:topLinePunct w:val="0"/>
        <w:autoSpaceDE/>
        <w:autoSpaceDN/>
        <w:bidi w:val="0"/>
        <w:adjustRightInd/>
        <w:snapToGrid/>
        <w:spacing w:after="313" w:afterLines="100" w:line="560" w:lineRule="exact"/>
        <w:jc w:val="center"/>
        <w:textAlignment w:val="auto"/>
        <w:rPr>
          <w:rFonts w:hint="default" w:ascii="方正小标宋简体" w:eastAsia="方正小标宋简体"/>
          <w:sz w:val="44"/>
          <w:szCs w:val="44"/>
          <w:lang w:val="en-US" w:eastAsia="zh-CN"/>
        </w:rPr>
      </w:pPr>
      <w:bookmarkStart w:id="0" w:name="_GoBack"/>
      <w:r>
        <w:rPr>
          <w:rFonts w:hint="eastAsia" w:ascii="方正小标宋简体" w:eastAsia="方正小标宋简体"/>
          <w:sz w:val="44"/>
          <w:szCs w:val="44"/>
        </w:rPr>
        <w:t>关于</w:t>
      </w:r>
      <w:r>
        <w:rPr>
          <w:rFonts w:hint="eastAsia" w:ascii="方正小标宋简体" w:eastAsia="方正小标宋简体"/>
          <w:sz w:val="44"/>
          <w:szCs w:val="44"/>
          <w:lang w:val="en-US" w:eastAsia="zh-CN"/>
        </w:rPr>
        <w:t>明确</w:t>
      </w:r>
      <w:r>
        <w:rPr>
          <w:rFonts w:hint="eastAsia" w:ascii="方正小标宋简体" w:eastAsia="方正小标宋简体"/>
          <w:sz w:val="44"/>
          <w:szCs w:val="44"/>
        </w:rPr>
        <w:t>202</w:t>
      </w:r>
      <w:r>
        <w:rPr>
          <w:rFonts w:hint="eastAsia" w:ascii="方正小标宋简体" w:eastAsia="方正小标宋简体"/>
          <w:sz w:val="44"/>
          <w:szCs w:val="44"/>
          <w:lang w:val="en-US" w:eastAsia="zh-CN"/>
        </w:rPr>
        <w:t>5级选修课</w:t>
      </w:r>
      <w:r>
        <w:rPr>
          <w:rFonts w:hint="eastAsia" w:ascii="方正小标宋简体" w:eastAsia="方正小标宋简体"/>
          <w:sz w:val="44"/>
          <w:szCs w:val="44"/>
          <w:lang w:eastAsia="zh-CN"/>
        </w:rPr>
        <w:t>（</w:t>
      </w:r>
      <w:r>
        <w:rPr>
          <w:rFonts w:hint="eastAsia" w:ascii="方正小标宋简体" w:eastAsia="方正小标宋简体"/>
          <w:sz w:val="44"/>
          <w:szCs w:val="44"/>
          <w:lang w:val="en-US" w:eastAsia="zh-CN"/>
        </w:rPr>
        <w:t>含辅修课</w:t>
      </w:r>
      <w:r>
        <w:rPr>
          <w:rFonts w:hint="eastAsia" w:ascii="方正小标宋简体" w:eastAsia="方正小标宋简体"/>
          <w:sz w:val="44"/>
          <w:szCs w:val="44"/>
          <w:lang w:eastAsia="zh-CN"/>
        </w:rPr>
        <w:t>）</w:t>
      </w:r>
      <w:r>
        <w:rPr>
          <w:rFonts w:hint="eastAsia" w:ascii="方正小标宋简体" w:eastAsia="方正小标宋简体"/>
          <w:sz w:val="44"/>
          <w:szCs w:val="44"/>
          <w:lang w:val="en-US" w:eastAsia="zh-CN"/>
        </w:rPr>
        <w:t>开课相关事宜的通知</w:t>
      </w:r>
    </w:p>
    <w:bookmarkEnd w:id="0"/>
    <w:p w14:paraId="4B06548D">
      <w:pPr>
        <w:pStyle w:val="15"/>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_GB2312" w:hAnsi="宋体" w:eastAsia="仿宋_GB2312" w:cs="Times New Roman"/>
          <w:b/>
          <w:bCs/>
          <w:kern w:val="2"/>
          <w:sz w:val="32"/>
          <w:szCs w:val="32"/>
          <w:highlight w:val="none"/>
          <w:lang w:val="en-US" w:eastAsia="zh-CN" w:bidi="ar-SA"/>
        </w:rPr>
      </w:pPr>
      <w:r>
        <w:rPr>
          <w:rFonts w:hint="eastAsia" w:ascii="仿宋_GB2312" w:hAnsi="宋体" w:eastAsia="仿宋_GB2312" w:cs="Times New Roman"/>
          <w:b/>
          <w:bCs/>
          <w:kern w:val="2"/>
          <w:sz w:val="32"/>
          <w:szCs w:val="32"/>
          <w:highlight w:val="none"/>
          <w:lang w:val="en-US" w:eastAsia="zh-CN" w:bidi="ar-SA"/>
        </w:rPr>
        <w:t>各教学单位：</w:t>
      </w:r>
    </w:p>
    <w:p w14:paraId="403B4F8A">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我校2025级2025-2026学年第一学期选修课（含辅修课）的选课工作已结束，现将开课的相关事宜明确如下：</w:t>
      </w:r>
    </w:p>
    <w:p w14:paraId="44538987">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2"/>
          <w:sz w:val="32"/>
          <w:szCs w:val="32"/>
          <w:highlight w:val="none"/>
          <w:lang w:val="en-US" w:eastAsia="zh-CN" w:bidi="ar-SA"/>
        </w:rPr>
      </w:pPr>
      <w:r>
        <w:rPr>
          <w:rFonts w:hint="eastAsia" w:ascii="黑体" w:hAnsi="黑体" w:eastAsia="黑体" w:cs="黑体"/>
          <w:color w:val="000000"/>
          <w:kern w:val="0"/>
          <w:sz w:val="32"/>
          <w:szCs w:val="32"/>
          <w:highlight w:val="none"/>
          <w:lang w:val="en-US" w:eastAsia="zh-CN"/>
        </w:rPr>
        <w:t>一、</w:t>
      </w:r>
      <w:r>
        <w:rPr>
          <w:rFonts w:hint="eastAsia" w:ascii="黑体" w:hAnsi="黑体" w:eastAsia="黑体" w:cs="黑体"/>
          <w:kern w:val="2"/>
          <w:sz w:val="32"/>
          <w:szCs w:val="32"/>
          <w:highlight w:val="none"/>
          <w:lang w:val="en-US" w:eastAsia="zh-CN" w:bidi="ar-SA"/>
        </w:rPr>
        <w:t>开课时间</w:t>
      </w:r>
    </w:p>
    <w:p w14:paraId="3D44C647">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教学周第四周至第十六周。</w:t>
      </w:r>
    </w:p>
    <w:p w14:paraId="1423336D">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课程具体课表查询方法如下：</w:t>
      </w:r>
    </w:p>
    <w:p w14:paraId="7D2047A7">
      <w:pPr>
        <w:pStyle w:val="6"/>
        <w:keepNext w:val="0"/>
        <w:keepLines w:val="0"/>
        <w:widowControl/>
        <w:suppressLineNumbers w:val="0"/>
        <w:spacing w:before="0" w:beforeAutospacing="0" w:after="0" w:afterAutospacing="0" w:line="560" w:lineRule="exact"/>
        <w:ind w:left="0" w:right="0" w:firstLine="420"/>
        <w:jc w:val="left"/>
      </w:pPr>
      <w:r>
        <w:rPr>
          <w:rFonts w:hint="eastAsia" w:ascii="仿宋_GB2312" w:hAnsi="宋体" w:eastAsia="仿宋_GB2312" w:cs="Times New Roman"/>
          <w:kern w:val="2"/>
          <w:sz w:val="32"/>
          <w:szCs w:val="32"/>
          <w:highlight w:val="none"/>
          <w:lang w:val="en-US" w:eastAsia="zh-CN" w:bidi="ar-SA"/>
        </w:rPr>
        <w:t>拓展选修课和辅修课课表信息请教师、学生登录</w:t>
      </w:r>
      <w:r>
        <w:rPr>
          <w:rFonts w:ascii="仿宋_GB2312" w:eastAsia="仿宋_GB2312" w:cs="仿宋_GB2312"/>
          <w:b w:val="0"/>
          <w:bCs w:val="0"/>
          <w:i w:val="0"/>
          <w:iCs w:val="0"/>
          <w:color w:val="000000"/>
          <w:spacing w:val="0"/>
          <w:w w:val="100"/>
          <w:sz w:val="32"/>
          <w:szCs w:val="32"/>
          <w:vertAlign w:val="baseline"/>
        </w:rPr>
        <w:t>教务系统</w:t>
      </w:r>
      <w:r>
        <w:rPr>
          <w:rFonts w:hint="eastAsia" w:ascii="仿宋_GB2312" w:hAnsi="宋体" w:eastAsia="仿宋_GB2312" w:cs="Times New Roman"/>
          <w:kern w:val="2"/>
          <w:sz w:val="32"/>
          <w:szCs w:val="32"/>
          <w:highlight w:val="none"/>
          <w:lang w:val="en-US" w:eastAsia="zh-CN" w:bidi="ar-SA"/>
        </w:rPr>
        <w:t>查询，</w:t>
      </w:r>
      <w:r>
        <w:rPr>
          <w:rFonts w:hint="eastAsia" w:ascii="仿宋_GB2312" w:eastAsia="仿宋_GB2312" w:cs="仿宋_GB2312"/>
          <w:b w:val="0"/>
          <w:bCs w:val="0"/>
          <w:i w:val="0"/>
          <w:iCs w:val="0"/>
          <w:color w:val="000000"/>
          <w:spacing w:val="0"/>
          <w:w w:val="100"/>
          <w:sz w:val="32"/>
          <w:szCs w:val="32"/>
          <w:vertAlign w:val="baseline"/>
          <w:lang w:eastAsia="zh-CN"/>
        </w:rPr>
        <w:t>（</w:t>
      </w:r>
      <w:r>
        <w:rPr>
          <w:rFonts w:hint="eastAsia" w:ascii="仿宋_GB2312" w:eastAsia="仿宋_GB2312" w:cs="仿宋_GB2312"/>
          <w:b w:val="0"/>
          <w:bCs w:val="0"/>
          <w:i w:val="0"/>
          <w:iCs w:val="0"/>
          <w:color w:val="000000"/>
          <w:spacing w:val="0"/>
          <w:w w:val="100"/>
          <w:sz w:val="32"/>
          <w:szCs w:val="32"/>
          <w:vertAlign w:val="baseline"/>
          <w:lang w:val="en-US" w:eastAsia="zh-CN"/>
        </w:rPr>
        <w:t>教务系统网址：</w:t>
      </w:r>
      <w:r>
        <w:fldChar w:fldCharType="begin"/>
      </w:r>
      <w:r>
        <w:instrText xml:space="preserve"> HYPERLINK "https://lncmxy.jw.chaoxing" </w:instrText>
      </w:r>
      <w:r>
        <w:fldChar w:fldCharType="separate"/>
      </w:r>
      <w:r>
        <w:rPr>
          <w:rStyle w:val="11"/>
          <w:rFonts w:ascii="仿宋_GB2312" w:eastAsia="仿宋_GB2312" w:cs="仿宋_GB2312"/>
          <w:b w:val="0"/>
          <w:bCs w:val="0"/>
          <w:i w:val="0"/>
          <w:iCs w:val="0"/>
          <w:color w:val="0000FF"/>
          <w:spacing w:val="0"/>
          <w:w w:val="100"/>
          <w:sz w:val="32"/>
          <w:szCs w:val="32"/>
          <w:u w:val="single"/>
          <w:vertAlign w:val="baseline"/>
        </w:rPr>
        <w:t>https://lncmxy.</w:t>
      </w:r>
      <w:r>
        <w:rPr>
          <w:rStyle w:val="11"/>
          <w:rFonts w:hint="eastAsia" w:ascii="仿宋_GB2312" w:eastAsia="仿宋_GB2312" w:cs="仿宋_GB2312"/>
          <w:b w:val="0"/>
          <w:bCs w:val="0"/>
          <w:i w:val="0"/>
          <w:iCs w:val="0"/>
          <w:color w:val="0000FF"/>
          <w:spacing w:val="0"/>
          <w:w w:val="100"/>
          <w:sz w:val="32"/>
          <w:szCs w:val="32"/>
          <w:u w:val="single"/>
          <w:vertAlign w:val="baseline"/>
        </w:rPr>
        <w:t>jw.chaoxing</w:t>
      </w:r>
      <w:r>
        <w:fldChar w:fldCharType="end"/>
      </w:r>
      <w:r>
        <w:rPr>
          <w:rFonts w:hint="eastAsia" w:ascii="仿宋_GB2312" w:eastAsia="仿宋_GB2312" w:cs="仿宋_GB2312"/>
          <w:b w:val="0"/>
          <w:bCs w:val="0"/>
          <w:i w:val="0"/>
          <w:iCs w:val="0"/>
          <w:color w:val="000000"/>
          <w:spacing w:val="0"/>
          <w:w w:val="100"/>
          <w:sz w:val="32"/>
          <w:szCs w:val="32"/>
          <w:vertAlign w:val="baseline"/>
        </w:rPr>
        <w:t>.com/admin</w:t>
      </w:r>
    </w:p>
    <w:p w14:paraId="6C104344">
      <w:pPr>
        <w:pStyle w:val="6"/>
        <w:keepNext w:val="0"/>
        <w:keepLines w:val="0"/>
        <w:widowControl/>
        <w:suppressLineNumbers w:val="0"/>
        <w:spacing w:before="0" w:beforeAutospacing="0" w:after="0" w:afterAutospacing="0" w:line="560" w:lineRule="exact"/>
        <w:ind w:left="0" w:right="0" w:firstLine="420"/>
        <w:jc w:val="both"/>
        <w:rPr>
          <w:rFonts w:hint="eastAsia" w:ascii="仿宋_GB2312" w:eastAsia="仿宋_GB2312" w:cs="仿宋_GB2312"/>
          <w:b w:val="0"/>
          <w:bCs w:val="0"/>
          <w:i w:val="0"/>
          <w:iCs w:val="0"/>
          <w:color w:val="000000"/>
          <w:spacing w:val="0"/>
          <w:w w:val="100"/>
          <w:sz w:val="32"/>
          <w:szCs w:val="32"/>
          <w:vertAlign w:val="baseline"/>
          <w:lang w:eastAsia="zh-CN"/>
        </w:rPr>
      </w:pPr>
      <w:r>
        <w:rPr>
          <w:rFonts w:hint="eastAsia" w:ascii="仿宋_GB2312" w:eastAsia="仿宋_GB2312" w:cs="仿宋_GB2312"/>
          <w:b w:val="0"/>
          <w:bCs w:val="0"/>
          <w:i w:val="0"/>
          <w:iCs w:val="0"/>
          <w:color w:val="000000"/>
          <w:spacing w:val="0"/>
          <w:w w:val="100"/>
          <w:sz w:val="32"/>
          <w:szCs w:val="32"/>
          <w:vertAlign w:val="baseline"/>
          <w:lang w:eastAsia="zh-CN"/>
        </w:rPr>
        <w:t>）。</w:t>
      </w:r>
    </w:p>
    <w:p w14:paraId="1D648580">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kern w:val="0"/>
          <w:sz w:val="32"/>
          <w:szCs w:val="32"/>
          <w:highlight w:val="none"/>
          <w:lang w:val="en-US" w:eastAsia="zh-CN"/>
        </w:rPr>
      </w:pPr>
      <w:r>
        <w:rPr>
          <w:rFonts w:hint="eastAsia" w:ascii="黑体" w:hAnsi="黑体" w:eastAsia="黑体" w:cs="黑体"/>
          <w:color w:val="000000"/>
          <w:kern w:val="0"/>
          <w:sz w:val="32"/>
          <w:szCs w:val="32"/>
          <w:highlight w:val="none"/>
          <w:lang w:val="en-US" w:eastAsia="zh-CN"/>
        </w:rPr>
        <w:t>二、开课形式</w:t>
      </w:r>
    </w:p>
    <w:p w14:paraId="263B6BEA">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1.辅修课和拓展选修课（线下）采用线下授课；</w:t>
      </w:r>
    </w:p>
    <w:p w14:paraId="7E67C6A2">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2.拓展选修课（线上）采用线上直播授课；</w:t>
      </w:r>
    </w:p>
    <w:p w14:paraId="7684A711">
      <w:pPr>
        <w:keepNext w:val="0"/>
        <w:keepLines w:val="0"/>
        <w:pageBreakBefore w:val="0"/>
        <w:widowControl/>
        <w:kinsoku/>
        <w:wordWrap/>
        <w:overflowPunct/>
        <w:topLinePunct w:val="0"/>
        <w:autoSpaceDE/>
        <w:autoSpaceDN/>
        <w:bidi w:val="0"/>
        <w:adjustRightInd/>
        <w:snapToGrid/>
        <w:spacing w:line="560" w:lineRule="exact"/>
        <w:ind w:left="638" w:leftChars="304"/>
        <w:jc w:val="left"/>
        <w:textAlignment w:val="auto"/>
        <w:rPr>
          <w:rFonts w:hint="eastAsia" w:ascii="仿宋_GB2312" w:eastAsia="仿宋_GB2312"/>
          <w:sz w:val="32"/>
          <w:szCs w:val="32"/>
          <w:highlight w:val="none"/>
        </w:rPr>
      </w:pPr>
      <w:r>
        <w:rPr>
          <w:rFonts w:hint="eastAsia" w:ascii="仿宋_GB2312" w:hAnsi="宋体" w:eastAsia="仿宋_GB2312" w:cs="Times New Roman"/>
          <w:kern w:val="2"/>
          <w:sz w:val="32"/>
          <w:szCs w:val="32"/>
          <w:highlight w:val="none"/>
          <w:lang w:val="en-US" w:eastAsia="zh-CN" w:bidi="ar-SA"/>
        </w:rPr>
        <w:t>3.跨校选修课采用线上慕课。</w:t>
      </w:r>
      <w:r>
        <w:rPr>
          <w:rFonts w:hint="eastAsia" w:ascii="仿宋_GB2312" w:eastAsia="仿宋_GB2312"/>
          <w:sz w:val="32"/>
          <w:szCs w:val="32"/>
          <w:highlight w:val="none"/>
        </w:rPr>
        <w:t>学习网址</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http://lncmxy.fanya.chaoxing.com/portal</w:t>
      </w:r>
    </w:p>
    <w:p w14:paraId="613472DA">
      <w:pPr>
        <w:keepNext w:val="0"/>
        <w:keepLines w:val="0"/>
        <w:pageBreakBefore w:val="0"/>
        <w:widowControl/>
        <w:kinsoku/>
        <w:wordWrap/>
        <w:overflowPunct/>
        <w:topLinePunct w:val="0"/>
        <w:autoSpaceDE/>
        <w:autoSpaceDN/>
        <w:bidi w:val="0"/>
        <w:adjustRightInd/>
        <w:snapToGrid/>
        <w:spacing w:line="560" w:lineRule="exact"/>
        <w:ind w:left="638" w:leftChars="304"/>
        <w:jc w:val="lef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具体操作流程见附件2-1。</w:t>
      </w:r>
    </w:p>
    <w:p w14:paraId="6DA972B9">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left"/>
        <w:textAlignment w:val="auto"/>
        <w:rPr>
          <w:rFonts w:hint="eastAsia" w:ascii="黑体" w:hAnsi="黑体" w:eastAsia="黑体" w:cs="黑体"/>
          <w:color w:val="000000"/>
          <w:kern w:val="0"/>
          <w:sz w:val="32"/>
          <w:szCs w:val="32"/>
          <w:highlight w:val="none"/>
          <w:lang w:val="en-US" w:eastAsia="zh-CN"/>
        </w:rPr>
      </w:pPr>
      <w:r>
        <w:rPr>
          <w:rFonts w:hint="eastAsia" w:ascii="仿宋_GB2312" w:eastAsia="仿宋_GB2312" w:cstheme="minorBidi"/>
          <w:b/>
          <w:bCs/>
          <w:kern w:val="2"/>
          <w:sz w:val="32"/>
          <w:szCs w:val="32"/>
          <w:highlight w:val="none"/>
          <w:lang w:val="en-US" w:eastAsia="zh-CN" w:bidi="ar-SA"/>
        </w:rPr>
        <w:t>注意：</w:t>
      </w:r>
      <w:r>
        <w:rPr>
          <w:rFonts w:hint="eastAsia" w:ascii="仿宋_GB2312" w:eastAsia="仿宋_GB2312" w:cstheme="minorBidi"/>
          <w:b w:val="0"/>
          <w:kern w:val="2"/>
          <w:sz w:val="32"/>
          <w:szCs w:val="32"/>
          <w:highlight w:val="none"/>
          <w:lang w:val="en-US" w:eastAsia="zh-CN" w:bidi="ar-SA"/>
        </w:rPr>
        <w:t>本学期跨校课程从第4教学周开课，请报名跨校课学习学生务必于9月26日15:00前加入对应跨校课程班级QQ群，相关学习要求将在群内发布，班级群二维码见附件2-2。</w:t>
      </w:r>
    </w:p>
    <w:p w14:paraId="1F5237F0">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kern w:val="0"/>
          <w:sz w:val="32"/>
          <w:szCs w:val="32"/>
          <w:highlight w:val="none"/>
          <w:lang w:val="en-US" w:eastAsia="zh-CN"/>
        </w:rPr>
      </w:pPr>
      <w:r>
        <w:rPr>
          <w:rFonts w:hint="eastAsia" w:ascii="黑体" w:hAnsi="黑体" w:eastAsia="黑体" w:cs="黑体"/>
          <w:color w:val="000000"/>
          <w:kern w:val="0"/>
          <w:sz w:val="32"/>
          <w:szCs w:val="32"/>
          <w:highlight w:val="none"/>
          <w:lang w:val="en-US" w:eastAsia="zh-CN"/>
        </w:rPr>
        <w:t>三、教学实施</w:t>
      </w:r>
    </w:p>
    <w:p w14:paraId="278B0B5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（一）授课教师及助教职责</w:t>
      </w:r>
    </w:p>
    <w:p w14:paraId="42E5C630">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仿宋_GB2312" w:hAnsi="宋体" w:eastAsia="仿宋_GB2312" w:cs="Times New Roman"/>
          <w:b/>
          <w:bCs/>
          <w:kern w:val="2"/>
          <w:sz w:val="32"/>
          <w:szCs w:val="32"/>
          <w:highlight w:val="none"/>
          <w:lang w:val="en-US" w:eastAsia="zh-CN" w:bidi="ar-SA"/>
        </w:rPr>
      </w:pPr>
      <w:r>
        <w:rPr>
          <w:rFonts w:hint="eastAsia" w:ascii="仿宋_GB2312" w:hAnsi="宋体" w:eastAsia="仿宋_GB2312" w:cs="Times New Roman"/>
          <w:b/>
          <w:bCs/>
          <w:kern w:val="2"/>
          <w:sz w:val="32"/>
          <w:szCs w:val="32"/>
          <w:highlight w:val="none"/>
          <w:lang w:val="en-US" w:eastAsia="zh-CN" w:bidi="ar-SA"/>
        </w:rPr>
        <w:t>1.授课教师职责：</w:t>
      </w:r>
    </w:p>
    <w:p w14:paraId="55F460AD">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（1）制定教学计划和方案；</w:t>
      </w:r>
    </w:p>
    <w:p w14:paraId="1BD1E8BA">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（2）编制教学大纲、试题；</w:t>
      </w:r>
    </w:p>
    <w:p w14:paraId="7579FF70">
      <w:pPr>
        <w:pStyle w:val="15"/>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szCs w:val="32"/>
          <w:highlight w:val="none"/>
          <w:lang w:eastAsia="zh-CN"/>
        </w:rPr>
      </w:pPr>
      <w:r>
        <w:rPr>
          <w:rFonts w:hint="eastAsia" w:ascii="仿宋_GB2312" w:hAnsi="宋体" w:eastAsia="仿宋_GB2312" w:cs="Times New Roman"/>
          <w:sz w:val="32"/>
          <w:szCs w:val="32"/>
          <w:highlight w:val="none"/>
        </w:rPr>
        <w:t>（3）授课教师必须提前5分钟进教室</w:t>
      </w:r>
      <w:r>
        <w:rPr>
          <w:rFonts w:hint="eastAsia" w:ascii="仿宋_GB2312" w:hAnsi="宋体" w:eastAsia="仿宋_GB2312" w:cs="Times New Roman"/>
          <w:sz w:val="32"/>
          <w:szCs w:val="32"/>
          <w:highlight w:val="none"/>
          <w:lang w:val="en-US" w:eastAsia="zh-CN"/>
        </w:rPr>
        <w:t>（直播室）</w:t>
      </w:r>
      <w:r>
        <w:rPr>
          <w:rFonts w:hint="eastAsia" w:ascii="仿宋_GB2312" w:hAnsi="宋体" w:eastAsia="仿宋_GB2312" w:cs="Times New Roman"/>
          <w:sz w:val="32"/>
          <w:szCs w:val="32"/>
          <w:highlight w:val="none"/>
        </w:rPr>
        <w:t>，进行必要的教学准备（教学设备、课件、学生到课</w:t>
      </w:r>
      <w:r>
        <w:rPr>
          <w:rFonts w:hint="eastAsia" w:ascii="仿宋_GB2312" w:hAnsi="宋体" w:eastAsia="仿宋_GB2312" w:cs="Times New Roman"/>
          <w:sz w:val="32"/>
          <w:szCs w:val="32"/>
          <w:highlight w:val="none"/>
          <w:lang w:eastAsia="zh-CN"/>
        </w:rPr>
        <w:t>）；</w:t>
      </w:r>
    </w:p>
    <w:p w14:paraId="0A41482B">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（4）关于课堂点名签到事项明确如下：校园OA不用再点到，教师统一用泛雅课堂组织学生进行二维码签到即可，上课铃声停即停止签到，不延时。</w:t>
      </w:r>
    </w:p>
    <w:p w14:paraId="2D1431D2">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宋体" w:eastAsia="仿宋_GB2312" w:cs="Times New Roman"/>
          <w:b/>
          <w:bCs/>
          <w:kern w:val="2"/>
          <w:sz w:val="32"/>
          <w:szCs w:val="32"/>
          <w:highlight w:val="none"/>
          <w:lang w:val="en-US" w:eastAsia="zh-CN" w:bidi="ar-SA"/>
        </w:rPr>
      </w:pPr>
      <w:r>
        <w:rPr>
          <w:rFonts w:hint="eastAsia" w:ascii="仿宋_GB2312" w:hAnsi="宋体" w:eastAsia="仿宋_GB2312" w:cs="Times New Roman"/>
          <w:b/>
          <w:bCs/>
          <w:kern w:val="2"/>
          <w:sz w:val="32"/>
          <w:szCs w:val="32"/>
          <w:highlight w:val="none"/>
          <w:lang w:val="en-US" w:eastAsia="zh-CN" w:bidi="ar-SA"/>
        </w:rPr>
        <w:t>2.助教职责：</w:t>
      </w:r>
    </w:p>
    <w:p w14:paraId="26DCC36E">
      <w:pPr>
        <w:pStyle w:val="15"/>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协助教师制定教学计划；</w:t>
      </w:r>
    </w:p>
    <w:p w14:paraId="721E12A3">
      <w:pPr>
        <w:pStyle w:val="15"/>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协助编制教学大纲、试题；</w:t>
      </w:r>
    </w:p>
    <w:p w14:paraId="13A41C9D">
      <w:pPr>
        <w:pStyle w:val="15"/>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授课期间必须全程在教室或直播间；</w:t>
      </w:r>
    </w:p>
    <w:p w14:paraId="3ADB80F7">
      <w:pPr>
        <w:pStyle w:val="15"/>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协助教师进行作业批改和考试；</w:t>
      </w:r>
    </w:p>
    <w:p w14:paraId="13AB051A">
      <w:pPr>
        <w:pStyle w:val="15"/>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经授课教师同意，可以适当上一定学时课程，但不能超过全部课程1/2。</w:t>
      </w:r>
    </w:p>
    <w:p w14:paraId="13EC84F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（二）对选课学生相关要求（选课名单见附件3）</w:t>
      </w:r>
    </w:p>
    <w:p w14:paraId="605AB442">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1.选课学生对照课表按时到指定教室（场馆）、直播室上课，并自觉遵守多媒体教室、实训室、场馆的相关管理规章制度。</w:t>
      </w:r>
    </w:p>
    <w:p w14:paraId="164B888E">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2.学习期间，认真完成老师布置各项教学任务，服从授课教师、助教教师管理。</w:t>
      </w:r>
    </w:p>
    <w:p w14:paraId="5070DE9D">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theme="minorBidi"/>
          <w:b w:val="0"/>
          <w:kern w:val="2"/>
          <w:sz w:val="32"/>
          <w:szCs w:val="32"/>
          <w:highlight w:val="none"/>
          <w:lang w:val="en-US" w:eastAsia="zh-CN" w:bidi="ar-SA"/>
        </w:rPr>
      </w:pPr>
      <w:r>
        <w:rPr>
          <w:rFonts w:hint="eastAsia" w:ascii="仿宋_GB2312" w:eastAsia="仿宋_GB2312" w:cstheme="minorBidi"/>
          <w:b w:val="0"/>
          <w:kern w:val="2"/>
          <w:sz w:val="32"/>
          <w:szCs w:val="32"/>
          <w:highlight w:val="none"/>
          <w:lang w:val="en-US" w:eastAsia="zh-CN" w:bidi="ar-SA"/>
        </w:rPr>
        <w:t>注意：线上拓展选修课</w:t>
      </w:r>
      <w:r>
        <w:rPr>
          <w:rFonts w:hint="eastAsia" w:ascii="仿宋_GB2312" w:eastAsia="仿宋_GB2312" w:cstheme="minorBidi"/>
          <w:b/>
          <w:bCs/>
          <w:kern w:val="2"/>
          <w:sz w:val="32"/>
          <w:szCs w:val="32"/>
          <w:highlight w:val="none"/>
          <w:lang w:val="en-US" w:eastAsia="zh-CN" w:bidi="ar-SA"/>
        </w:rPr>
        <w:t>学生不需要到教室上课</w:t>
      </w:r>
      <w:r>
        <w:rPr>
          <w:rFonts w:hint="eastAsia" w:ascii="仿宋_GB2312" w:eastAsia="仿宋_GB2312" w:cstheme="minorBidi"/>
          <w:b w:val="0"/>
          <w:kern w:val="2"/>
          <w:sz w:val="32"/>
          <w:szCs w:val="32"/>
          <w:highlight w:val="none"/>
          <w:lang w:val="en-US" w:eastAsia="zh-CN" w:bidi="ar-SA"/>
        </w:rPr>
        <w:t>。</w:t>
      </w:r>
    </w:p>
    <w:p w14:paraId="1879E47F">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kern w:val="0"/>
          <w:sz w:val="32"/>
          <w:szCs w:val="32"/>
          <w:highlight w:val="none"/>
          <w:lang w:val="en-US" w:eastAsia="zh-CN"/>
        </w:rPr>
      </w:pPr>
      <w:r>
        <w:rPr>
          <w:rFonts w:hint="eastAsia" w:ascii="黑体" w:hAnsi="黑体" w:eastAsia="黑体" w:cs="黑体"/>
          <w:color w:val="000000"/>
          <w:kern w:val="0"/>
          <w:sz w:val="32"/>
          <w:szCs w:val="32"/>
          <w:highlight w:val="none"/>
          <w:lang w:val="en-US" w:eastAsia="zh-CN"/>
        </w:rPr>
        <w:t>四、课程考核</w:t>
      </w:r>
    </w:p>
    <w:p w14:paraId="2E8F2042">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选修课的考核评定严格按照课程教学大纲规定的考试方式执行。考试时间安排</w:t>
      </w:r>
      <w:r>
        <w:rPr>
          <w:rFonts w:hint="eastAsia" w:ascii="仿宋_GB2312" w:eastAsia="仿宋_GB2312" w:cstheme="minorBidi"/>
          <w:b w:val="0"/>
          <w:kern w:val="2"/>
          <w:sz w:val="32"/>
          <w:szCs w:val="32"/>
          <w:lang w:val="en-US" w:eastAsia="zh-CN" w:bidi="ar-SA"/>
        </w:rPr>
        <w:t>按照学校考试中心选修课程考试计划执行。</w:t>
      </w:r>
      <w:r>
        <w:rPr>
          <w:rFonts w:hint="eastAsia" w:ascii="仿宋_GB2312" w:hAnsi="宋体" w:eastAsia="仿宋_GB2312" w:cs="Times New Roman"/>
          <w:kern w:val="2"/>
          <w:sz w:val="32"/>
          <w:szCs w:val="32"/>
          <w:highlight w:val="none"/>
          <w:lang w:val="en-US" w:eastAsia="zh-CN" w:bidi="ar-SA"/>
        </w:rPr>
        <w:t>因故缺课需履行请假手续，累积</w:t>
      </w:r>
      <w:r>
        <w:rPr>
          <w:rFonts w:hint="default" w:ascii="仿宋_GB2312" w:hAnsi="宋体" w:eastAsia="仿宋_GB2312" w:cs="Times New Roman"/>
          <w:kern w:val="2"/>
          <w:sz w:val="32"/>
          <w:szCs w:val="32"/>
          <w:highlight w:val="none"/>
          <w:lang w:val="en-US" w:eastAsia="zh-CN" w:bidi="ar-SA"/>
        </w:rPr>
        <w:t>缺课</w:t>
      </w:r>
      <w:r>
        <w:rPr>
          <w:rFonts w:hint="eastAsia" w:ascii="仿宋_GB2312" w:hAnsi="宋体" w:eastAsia="仿宋_GB2312" w:cs="Times New Roman"/>
          <w:kern w:val="2"/>
          <w:sz w:val="32"/>
          <w:szCs w:val="32"/>
          <w:highlight w:val="none"/>
          <w:lang w:val="en-US" w:eastAsia="zh-CN" w:bidi="ar-SA"/>
        </w:rPr>
        <w:t>（旷课+病假+事假）三分之一取消考试资格，考核成绩不合格的，不能获得相应学分，选修课程不设补考和重修。</w:t>
      </w:r>
    </w:p>
    <w:p w14:paraId="3A187DBE">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kern w:val="0"/>
          <w:sz w:val="32"/>
          <w:szCs w:val="32"/>
          <w:highlight w:val="none"/>
          <w:lang w:val="en-US" w:eastAsia="zh-CN"/>
        </w:rPr>
      </w:pPr>
      <w:r>
        <w:rPr>
          <w:rFonts w:hint="eastAsia" w:ascii="黑体" w:hAnsi="黑体" w:eastAsia="黑体" w:cs="黑体"/>
          <w:color w:val="000000"/>
          <w:kern w:val="0"/>
          <w:sz w:val="32"/>
          <w:szCs w:val="32"/>
          <w:highlight w:val="none"/>
          <w:lang w:val="en-US" w:eastAsia="zh-CN"/>
        </w:rPr>
        <w:t>五、其他说明</w:t>
      </w:r>
    </w:p>
    <w:p w14:paraId="22DC97C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（一）课程调整</w:t>
      </w:r>
    </w:p>
    <w:p w14:paraId="3B0AD501">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选修课授课内容和时间的调整由授课教师所在二级学院向教务处报备，并在校园OA上完成相关工作流程。</w:t>
      </w:r>
    </w:p>
    <w:p w14:paraId="1B6F5DC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（二）请销假</w:t>
      </w:r>
    </w:p>
    <w:p w14:paraId="5F428C81">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学生如需请假，按照《辽宁财贸学院学生请假报告制度》要求，进行申请。</w:t>
      </w:r>
    </w:p>
    <w:p w14:paraId="601A1CA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（三）教具保障</w:t>
      </w:r>
    </w:p>
    <w:p w14:paraId="0E1A9B10">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学校为学生提供了必要的教学用具，像羽毛球、乒乓球等消耗类用具由选课人员自备上课用具。</w:t>
      </w:r>
    </w:p>
    <w:p w14:paraId="00A7284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（四）教学保障</w:t>
      </w:r>
    </w:p>
    <w:p w14:paraId="13D73C5A">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泛雅教学平台由超星技术人员保障；</w:t>
      </w:r>
    </w:p>
    <w:p w14:paraId="41B744CA">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Times New Roman"/>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教室设备由网络与信息管理中心保障；</w:t>
      </w:r>
    </w:p>
    <w:p w14:paraId="0A5FF266">
      <w:pPr>
        <w:pStyle w:val="15"/>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theme="minorBidi"/>
          <w:b w:val="0"/>
          <w:kern w:val="2"/>
          <w:sz w:val="32"/>
          <w:szCs w:val="32"/>
          <w:highlight w:val="none"/>
          <w:lang w:val="en-US" w:eastAsia="zh-CN" w:bidi="ar-SA"/>
        </w:rPr>
      </w:pPr>
      <w:r>
        <w:rPr>
          <w:rFonts w:hint="eastAsia" w:ascii="仿宋_GB2312" w:hAnsi="宋体" w:eastAsia="仿宋_GB2312" w:cs="Times New Roman"/>
          <w:kern w:val="2"/>
          <w:sz w:val="32"/>
          <w:szCs w:val="32"/>
          <w:highlight w:val="none"/>
          <w:lang w:val="en-US" w:eastAsia="zh-CN" w:bidi="ar-SA"/>
        </w:rPr>
        <w:t>场馆由教学管理处（场馆）保障。</w:t>
      </w:r>
    </w:p>
    <w:p w14:paraId="6692170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highlight w:val="none"/>
          <w:lang w:val="en-US" w:eastAsia="zh-CN"/>
        </w:rPr>
      </w:pPr>
    </w:p>
    <w:p w14:paraId="4E0917E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highlight w:val="none"/>
          <w:lang w:val="en-US" w:eastAsia="zh-CN"/>
        </w:rPr>
      </w:pPr>
    </w:p>
    <w:p w14:paraId="2FA086B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附件1：2025级学生选课名单</w:t>
      </w:r>
    </w:p>
    <w:p w14:paraId="62B8855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附件2-1.跨校线上课程操作手册</w:t>
      </w:r>
    </w:p>
    <w:p w14:paraId="53581CF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theme="minorBidi"/>
          <w:b w:val="0"/>
          <w:kern w:val="2"/>
          <w:sz w:val="32"/>
          <w:szCs w:val="32"/>
          <w:lang w:val="en-US" w:eastAsia="zh-CN" w:bidi="ar-SA"/>
        </w:rPr>
      </w:pPr>
      <w:r>
        <w:rPr>
          <w:rFonts w:hint="eastAsia" w:ascii="仿宋_GB2312" w:eastAsia="仿宋_GB2312"/>
          <w:sz w:val="32"/>
          <w:szCs w:val="32"/>
          <w:highlight w:val="none"/>
          <w:lang w:val="en-US" w:eastAsia="zh-CN"/>
        </w:rPr>
        <w:t>附件2-2.跨校课程</w:t>
      </w:r>
      <w:r>
        <w:rPr>
          <w:rFonts w:hint="eastAsia" w:ascii="仿宋_GB2312" w:eastAsia="仿宋_GB2312" w:cstheme="minorBidi"/>
          <w:b w:val="0"/>
          <w:kern w:val="2"/>
          <w:sz w:val="32"/>
          <w:szCs w:val="32"/>
          <w:lang w:val="en-US" w:eastAsia="zh-CN" w:bidi="ar-SA"/>
        </w:rPr>
        <w:t>班级群二维码</w:t>
      </w:r>
    </w:p>
    <w:p w14:paraId="26881A2B">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default"/>
          <w:sz w:val="32"/>
          <w:szCs w:val="32"/>
          <w:highlight w:val="none"/>
          <w:lang w:val="en-US" w:eastAsia="zh-CN"/>
        </w:rPr>
      </w:pPr>
    </w:p>
    <w:p w14:paraId="6C6F7AEB">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default"/>
          <w:sz w:val="32"/>
          <w:szCs w:val="32"/>
          <w:highlight w:val="none"/>
          <w:lang w:val="en-US" w:eastAsia="zh-CN"/>
        </w:rPr>
      </w:pPr>
    </w:p>
    <w:p w14:paraId="218ED573">
      <w:pPr>
        <w:keepNext w:val="0"/>
        <w:keepLines w:val="0"/>
        <w:pageBreakBefore w:val="0"/>
        <w:numPr>
          <w:ilvl w:val="0"/>
          <w:numId w:val="0"/>
        </w:numPr>
        <w:tabs>
          <w:tab w:val="left" w:pos="2730"/>
        </w:tabs>
        <w:kinsoku/>
        <w:wordWrap/>
        <w:overflowPunct/>
        <w:topLinePunct w:val="0"/>
        <w:autoSpaceDE/>
        <w:autoSpaceDN/>
        <w:bidi w:val="0"/>
        <w:adjustRightInd/>
        <w:snapToGrid/>
        <w:spacing w:line="560" w:lineRule="exact"/>
        <w:ind w:left="0" w:leftChars="0" w:firstLine="4537" w:firstLineChars="1418"/>
        <w:textAlignment w:val="auto"/>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辽宁财贸学院教务处</w:t>
      </w:r>
    </w:p>
    <w:p w14:paraId="6472F9D6">
      <w:pPr>
        <w:keepNext w:val="0"/>
        <w:keepLines w:val="0"/>
        <w:pageBreakBefore w:val="0"/>
        <w:kinsoku/>
        <w:wordWrap/>
        <w:overflowPunct/>
        <w:topLinePunct w:val="0"/>
        <w:autoSpaceDE/>
        <w:autoSpaceDN/>
        <w:bidi w:val="0"/>
        <w:adjustRightInd/>
        <w:snapToGrid/>
        <w:spacing w:line="560" w:lineRule="exact"/>
        <w:ind w:firstLine="4800" w:firstLineChars="1500"/>
        <w:textAlignment w:val="auto"/>
        <w:rPr>
          <w:sz w:val="32"/>
          <w:szCs w:val="32"/>
          <w:highlight w:val="none"/>
        </w:rPr>
      </w:pPr>
      <w:r>
        <w:rPr>
          <w:rFonts w:hint="eastAsia" w:ascii="仿宋_GB2312" w:eastAsia="仿宋_GB2312"/>
          <w:sz w:val="32"/>
          <w:szCs w:val="32"/>
          <w:highlight w:val="none"/>
          <w:lang w:val="en-US" w:eastAsia="zh-CN"/>
        </w:rPr>
        <w:t>2025年9月24日</w:t>
      </w:r>
    </w:p>
    <w:p w14:paraId="29372FD2">
      <w:pPr>
        <w:spacing w:line="560" w:lineRule="exact"/>
        <w:ind w:right="1920"/>
        <w:jc w:val="right"/>
        <w:rPr>
          <w:rFonts w:ascii="方正小标宋简体" w:eastAsia="方正小标宋简体"/>
          <w:sz w:val="32"/>
          <w:szCs w:val="32"/>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644DE8"/>
    <w:multiLevelType w:val="singleLevel"/>
    <w:tmpl w:val="59644DE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UwMDk0YjlmZGNjMmUzOTBhMDUyZWE5OGE4ZDZlMGUifQ=="/>
  </w:docVars>
  <w:rsids>
    <w:rsidRoot w:val="00F86A15"/>
    <w:rsid w:val="001C4626"/>
    <w:rsid w:val="002363B3"/>
    <w:rsid w:val="00275C4F"/>
    <w:rsid w:val="0036398C"/>
    <w:rsid w:val="003F65E0"/>
    <w:rsid w:val="00437117"/>
    <w:rsid w:val="005279C0"/>
    <w:rsid w:val="005C4275"/>
    <w:rsid w:val="006E7E5E"/>
    <w:rsid w:val="0079031D"/>
    <w:rsid w:val="007C776F"/>
    <w:rsid w:val="008548A9"/>
    <w:rsid w:val="00882D0F"/>
    <w:rsid w:val="00892038"/>
    <w:rsid w:val="00967CE9"/>
    <w:rsid w:val="009B0311"/>
    <w:rsid w:val="009B61C7"/>
    <w:rsid w:val="00AD4FB3"/>
    <w:rsid w:val="00B00EBE"/>
    <w:rsid w:val="00BA63D5"/>
    <w:rsid w:val="00C54527"/>
    <w:rsid w:val="00CA65FA"/>
    <w:rsid w:val="00D73DC4"/>
    <w:rsid w:val="00E67720"/>
    <w:rsid w:val="00ED1D98"/>
    <w:rsid w:val="00EE7D39"/>
    <w:rsid w:val="00F227E4"/>
    <w:rsid w:val="00F65D39"/>
    <w:rsid w:val="00F86A15"/>
    <w:rsid w:val="12E51381"/>
    <w:rsid w:val="13A23DD8"/>
    <w:rsid w:val="1E3C3CB7"/>
    <w:rsid w:val="25130FF0"/>
    <w:rsid w:val="356D2A61"/>
    <w:rsid w:val="3EAA0CFD"/>
    <w:rsid w:val="43730010"/>
    <w:rsid w:val="47CF20EB"/>
    <w:rsid w:val="49533D11"/>
    <w:rsid w:val="4EEB572F"/>
    <w:rsid w:val="5A4C328E"/>
    <w:rsid w:val="654F1604"/>
    <w:rsid w:val="65576AF7"/>
    <w:rsid w:val="6CE266A1"/>
    <w:rsid w:val="6EDE25A2"/>
    <w:rsid w:val="703D487E"/>
    <w:rsid w:val="70DB2279"/>
    <w:rsid w:val="751E4A37"/>
    <w:rsid w:val="7D5C54DD"/>
    <w:rsid w:val="7E170974"/>
    <w:rsid w:val="7E2C5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4"/>
    <w:semiHidden/>
    <w:unhideWhenUsed/>
    <w:qFormat/>
    <w:uiPriority w:val="99"/>
    <w:pPr>
      <w:ind w:left="100" w:leftChars="2500"/>
    </w:p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styleId="11">
    <w:name w:val="Hyperlink"/>
    <w:basedOn w:val="9"/>
    <w:qFormat/>
    <w:uiPriority w:val="0"/>
    <w:rPr>
      <w:color w:val="0000FF"/>
      <w:u w:val="single"/>
    </w:rPr>
  </w:style>
  <w:style w:type="character" w:customStyle="1" w:styleId="12">
    <w:name w:val="页眉 字符"/>
    <w:basedOn w:val="9"/>
    <w:link w:val="5"/>
    <w:qFormat/>
    <w:uiPriority w:val="99"/>
    <w:rPr>
      <w:kern w:val="2"/>
      <w:sz w:val="18"/>
      <w:szCs w:val="18"/>
    </w:rPr>
  </w:style>
  <w:style w:type="character" w:customStyle="1" w:styleId="13">
    <w:name w:val="页脚 字符"/>
    <w:basedOn w:val="9"/>
    <w:link w:val="4"/>
    <w:qFormat/>
    <w:uiPriority w:val="99"/>
    <w:rPr>
      <w:kern w:val="2"/>
      <w:sz w:val="18"/>
      <w:szCs w:val="18"/>
    </w:rPr>
  </w:style>
  <w:style w:type="character" w:customStyle="1" w:styleId="14">
    <w:name w:val="日期 字符"/>
    <w:basedOn w:val="9"/>
    <w:link w:val="3"/>
    <w:semiHidden/>
    <w:qFormat/>
    <w:uiPriority w:val="99"/>
    <w:rPr>
      <w:kern w:val="2"/>
      <w:sz w:val="21"/>
      <w:szCs w:val="22"/>
    </w:rPr>
  </w:style>
  <w:style w:type="paragraph" w:styleId="1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1056</Words>
  <Characters>1177</Characters>
  <Lines>2</Lines>
  <Paragraphs>1</Paragraphs>
  <TotalTime>4</TotalTime>
  <ScaleCrop>false</ScaleCrop>
  <LinksUpToDate>false</LinksUpToDate>
  <CharactersWithSpaces>1177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2020-08-12T01:50:00Z</dcterms:created>
  <dc:creator>Windows</dc:creator>
  <cp:lastModifiedBy>13591973223手机用户</cp:lastModifiedBy>
  <cp:lastPrinted>2019-10-23T00:33:00Z</cp:lastPrinted>
  <dcterms:modified xsi:type="dcterms:W3CDTF">2025-09-24T01:40:50Z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6C4AF798228B4C81914C67CBAB941D23</vt:lpwstr>
  </property>
  <property fmtid="{D5CDD505-2E9C-101B-9397-08002B2CF9AE}" pid="4" name="commondata">
    <vt:lpwstr>eyJoZGlkIjoiMDUwMDk0YjlmZGNjMmUzOTBhMDUyZWE5OGE4ZDZlMGUifQ==</vt:lpwstr>
  </property>
  <property fmtid="{D5CDD505-2E9C-101B-9397-08002B2CF9AE}" pid="5" name="KSOTemplateDocerSaveRecord">
    <vt:lpwstr>eyJoZGlkIjoiM2YxZDRhOGQyNjUxODNkZWM0YjJjZDk5ZmQ3ZTlhY2IiLCJ1c2VySWQiOiIxNzgwMzkxNzAifQ==</vt:lpwstr>
  </property>
</Properties>
</file>